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lang w:val="en-US"/>
        </w:rPr>
        <w:t>Feedback on Road to Zero Strategy</w:t>
      </w:r>
      <w:r>
        <w:drawing>
          <wp:anchor distT="152400" distB="152400" distL="152400" distR="152400" simplePos="0" relativeHeight="251659264" behindDoc="0" locked="0" layoutInCell="1" allowOverlap="1">
            <wp:simplePos x="0" y="0"/>
            <wp:positionH relativeFrom="margin">
              <wp:posOffset>6688211</wp:posOffset>
            </wp:positionH>
            <wp:positionV relativeFrom="page">
              <wp:posOffset>914399</wp:posOffset>
            </wp:positionV>
            <wp:extent cx="1952992" cy="486746"/>
            <wp:effectExtent l="0" t="0" r="0" b="0"/>
            <wp:wrapThrough wrapText="bothSides" distL="152400" distR="152400">
              <wp:wrapPolygon edited="1">
                <wp:start x="1709" y="0"/>
                <wp:lineTo x="1877" y="117"/>
                <wp:lineTo x="1877" y="2031"/>
                <wp:lineTo x="1666" y="2116"/>
                <wp:lineTo x="1561" y="2708"/>
                <wp:lineTo x="1603" y="3639"/>
                <wp:lineTo x="1751" y="4063"/>
                <wp:lineTo x="2025" y="3724"/>
                <wp:lineTo x="2067" y="2793"/>
                <wp:lineTo x="1983" y="2116"/>
                <wp:lineTo x="1877" y="2031"/>
                <wp:lineTo x="1877" y="117"/>
                <wp:lineTo x="2194" y="339"/>
                <wp:lineTo x="2489" y="1523"/>
                <wp:lineTo x="2595" y="3132"/>
                <wp:lineTo x="2405" y="5247"/>
                <wp:lineTo x="2046" y="7318"/>
                <wp:lineTo x="2046" y="8717"/>
                <wp:lineTo x="2995" y="9225"/>
                <wp:lineTo x="3755" y="10326"/>
                <wp:lineTo x="3987" y="11087"/>
                <wp:lineTo x="3966" y="12441"/>
                <wp:lineTo x="3565" y="13880"/>
                <wp:lineTo x="2658" y="16081"/>
                <wp:lineTo x="2468" y="16927"/>
                <wp:lineTo x="2489" y="18197"/>
                <wp:lineTo x="2869" y="19551"/>
                <wp:lineTo x="3987" y="21582"/>
                <wp:lineTo x="654" y="21413"/>
                <wp:lineTo x="211" y="19635"/>
                <wp:lineTo x="21" y="18027"/>
                <wp:lineTo x="63" y="16250"/>
                <wp:lineTo x="380" y="14811"/>
                <wp:lineTo x="1223" y="13288"/>
                <wp:lineTo x="2595" y="11680"/>
                <wp:lineTo x="2784" y="11087"/>
                <wp:lineTo x="2700" y="10156"/>
                <wp:lineTo x="2046" y="8717"/>
                <wp:lineTo x="2046" y="7318"/>
                <wp:lineTo x="1877" y="8294"/>
                <wp:lineTo x="1709" y="8040"/>
                <wp:lineTo x="1202" y="4993"/>
                <wp:lineTo x="1055" y="3385"/>
                <wp:lineTo x="1139" y="1608"/>
                <wp:lineTo x="1455" y="339"/>
                <wp:lineTo x="1709" y="0"/>
                <wp:lineTo x="4451" y="0"/>
                <wp:lineTo x="4451" y="8379"/>
                <wp:lineTo x="4683" y="8421"/>
                <wp:lineTo x="5126" y="9310"/>
                <wp:lineTo x="4683" y="9225"/>
                <wp:lineTo x="4683" y="15827"/>
                <wp:lineTo x="5316" y="15658"/>
                <wp:lineTo x="5611" y="14642"/>
                <wp:lineTo x="5716" y="13203"/>
                <wp:lineTo x="5653" y="10833"/>
                <wp:lineTo x="5421" y="9648"/>
                <wp:lineTo x="5126" y="9310"/>
                <wp:lineTo x="4683" y="8421"/>
                <wp:lineTo x="5379" y="8548"/>
                <wp:lineTo x="5738" y="9564"/>
                <wp:lineTo x="5927" y="11087"/>
                <wp:lineTo x="5906" y="14134"/>
                <wp:lineTo x="5653" y="15827"/>
                <wp:lineTo x="5273" y="16589"/>
                <wp:lineTo x="4451" y="16673"/>
                <wp:lineTo x="4451" y="8379"/>
                <wp:lineTo x="4451" y="0"/>
                <wp:lineTo x="6645" y="0"/>
                <wp:lineTo x="6645" y="10326"/>
                <wp:lineTo x="7003" y="10410"/>
                <wp:lineTo x="6961" y="11341"/>
                <wp:lineTo x="6539" y="11341"/>
                <wp:lineTo x="6391" y="12272"/>
                <wp:lineTo x="6370" y="16673"/>
                <wp:lineTo x="6159" y="16673"/>
                <wp:lineTo x="6159" y="10410"/>
                <wp:lineTo x="6370" y="10410"/>
                <wp:lineTo x="6413" y="11087"/>
                <wp:lineTo x="6581" y="10410"/>
                <wp:lineTo x="6645" y="10326"/>
                <wp:lineTo x="6645" y="0"/>
                <wp:lineTo x="7235" y="0"/>
                <wp:lineTo x="7235" y="8040"/>
                <wp:lineTo x="7404" y="8294"/>
                <wp:lineTo x="7383" y="9141"/>
                <wp:lineTo x="7193" y="9310"/>
                <wp:lineTo x="7151" y="9183"/>
                <wp:lineTo x="7151" y="10410"/>
                <wp:lineTo x="7383" y="10495"/>
                <wp:lineTo x="7383" y="16673"/>
                <wp:lineTo x="7151" y="16673"/>
                <wp:lineTo x="7151" y="10410"/>
                <wp:lineTo x="7151" y="9183"/>
                <wp:lineTo x="7109" y="9056"/>
                <wp:lineTo x="7151" y="8210"/>
                <wp:lineTo x="7235" y="8040"/>
                <wp:lineTo x="7235" y="0"/>
                <wp:lineTo x="7530" y="0"/>
                <wp:lineTo x="7530" y="10410"/>
                <wp:lineTo x="7784" y="10495"/>
                <wp:lineTo x="8205" y="15488"/>
                <wp:lineTo x="8606" y="10410"/>
                <wp:lineTo x="8817" y="10579"/>
                <wp:lineTo x="8290" y="16673"/>
                <wp:lineTo x="8058" y="16589"/>
                <wp:lineTo x="7530" y="10410"/>
                <wp:lineTo x="7530" y="0"/>
                <wp:lineTo x="9070" y="0"/>
                <wp:lineTo x="9070" y="8040"/>
                <wp:lineTo x="9239" y="8294"/>
                <wp:lineTo x="9218" y="9225"/>
                <wp:lineTo x="9007" y="9225"/>
                <wp:lineTo x="9007" y="10410"/>
                <wp:lineTo x="9218" y="10495"/>
                <wp:lineTo x="9218" y="16673"/>
                <wp:lineTo x="8986" y="16673"/>
                <wp:lineTo x="9007" y="10410"/>
                <wp:lineTo x="9007" y="9225"/>
                <wp:lineTo x="8944" y="8464"/>
                <wp:lineTo x="9070" y="8040"/>
                <wp:lineTo x="9070" y="0"/>
                <wp:lineTo x="9998" y="0"/>
                <wp:lineTo x="9998" y="10326"/>
                <wp:lineTo x="10420" y="10495"/>
                <wp:lineTo x="10631" y="11341"/>
                <wp:lineTo x="10695" y="12272"/>
                <wp:lineTo x="10695" y="16673"/>
                <wp:lineTo x="10462" y="16673"/>
                <wp:lineTo x="10420" y="11764"/>
                <wp:lineTo x="10252" y="11172"/>
                <wp:lineTo x="9914" y="11257"/>
                <wp:lineTo x="9745" y="12103"/>
                <wp:lineTo x="9724" y="16673"/>
                <wp:lineTo x="9492" y="16673"/>
                <wp:lineTo x="9513" y="10410"/>
                <wp:lineTo x="9724" y="10495"/>
                <wp:lineTo x="9745" y="11003"/>
                <wp:lineTo x="9998" y="10326"/>
                <wp:lineTo x="9998" y="0"/>
                <wp:lineTo x="11327" y="0"/>
                <wp:lineTo x="11327" y="10326"/>
                <wp:lineTo x="11538" y="10419"/>
                <wp:lineTo x="11538" y="11172"/>
                <wp:lineTo x="11285" y="11257"/>
                <wp:lineTo x="11116" y="12272"/>
                <wp:lineTo x="11137" y="15065"/>
                <wp:lineTo x="11306" y="15911"/>
                <wp:lineTo x="11707" y="15827"/>
                <wp:lineTo x="11897" y="15150"/>
                <wp:lineTo x="11855" y="11849"/>
                <wp:lineTo x="11623" y="11172"/>
                <wp:lineTo x="11538" y="11172"/>
                <wp:lineTo x="11538" y="10419"/>
                <wp:lineTo x="11707" y="10495"/>
                <wp:lineTo x="11897" y="11087"/>
                <wp:lineTo x="11897" y="10410"/>
                <wp:lineTo x="12108" y="10410"/>
                <wp:lineTo x="12066" y="17604"/>
                <wp:lineTo x="11812" y="18620"/>
                <wp:lineTo x="11306" y="18958"/>
                <wp:lineTo x="11264" y="18281"/>
                <wp:lineTo x="11728" y="17943"/>
                <wp:lineTo x="11876" y="17096"/>
                <wp:lineTo x="11876" y="16081"/>
                <wp:lineTo x="11602" y="16758"/>
                <wp:lineTo x="11201" y="16673"/>
                <wp:lineTo x="10948" y="15658"/>
                <wp:lineTo x="10863" y="13118"/>
                <wp:lineTo x="11011" y="11257"/>
                <wp:lineTo x="11264" y="10410"/>
                <wp:lineTo x="11327" y="10326"/>
                <wp:lineTo x="11327" y="0"/>
                <wp:lineTo x="13141" y="0"/>
                <wp:lineTo x="13141" y="8210"/>
                <wp:lineTo x="13648" y="8548"/>
                <wp:lineTo x="13985" y="9902"/>
                <wp:lineTo x="13943" y="10241"/>
                <wp:lineTo x="13584" y="10749"/>
                <wp:lineTo x="13395" y="9987"/>
                <wp:lineTo x="13015" y="10072"/>
                <wp:lineTo x="12804" y="11087"/>
                <wp:lineTo x="12762" y="12949"/>
                <wp:lineTo x="12846" y="14303"/>
                <wp:lineTo x="13057" y="15065"/>
                <wp:lineTo x="13458" y="14980"/>
                <wp:lineTo x="13669" y="14134"/>
                <wp:lineTo x="13985" y="15065"/>
                <wp:lineTo x="13711" y="16335"/>
                <wp:lineTo x="13331" y="16842"/>
                <wp:lineTo x="12825" y="16504"/>
                <wp:lineTo x="12487" y="15319"/>
                <wp:lineTo x="12319" y="13457"/>
                <wp:lineTo x="12361" y="10918"/>
                <wp:lineTo x="12614" y="9225"/>
                <wp:lineTo x="12952" y="8379"/>
                <wp:lineTo x="13141" y="8210"/>
                <wp:lineTo x="13141" y="0"/>
                <wp:lineTo x="14576" y="0"/>
                <wp:lineTo x="14576" y="8040"/>
                <wp:lineTo x="14618" y="10749"/>
                <wp:lineTo x="14808" y="10326"/>
                <wp:lineTo x="15230" y="10495"/>
                <wp:lineTo x="15462" y="11426"/>
                <wp:lineTo x="15546" y="12949"/>
                <wp:lineTo x="15525" y="16673"/>
                <wp:lineTo x="15398" y="16673"/>
                <wp:lineTo x="15398" y="18958"/>
                <wp:lineTo x="15862" y="18958"/>
                <wp:lineTo x="15862" y="19382"/>
                <wp:lineTo x="15673" y="19382"/>
                <wp:lineTo x="15673" y="21582"/>
                <wp:lineTo x="15588" y="21582"/>
                <wp:lineTo x="15588" y="19382"/>
                <wp:lineTo x="15377" y="19297"/>
                <wp:lineTo x="15398" y="18958"/>
                <wp:lineTo x="15398" y="16673"/>
                <wp:lineTo x="15124" y="16673"/>
                <wp:lineTo x="15082" y="12272"/>
                <wp:lineTo x="14913" y="11849"/>
                <wp:lineTo x="14850" y="11917"/>
                <wp:lineTo x="14850" y="18958"/>
                <wp:lineTo x="15272" y="18958"/>
                <wp:lineTo x="15272" y="19382"/>
                <wp:lineTo x="14955" y="19382"/>
                <wp:lineTo x="14955" y="19974"/>
                <wp:lineTo x="15145" y="20059"/>
                <wp:lineTo x="15145" y="20397"/>
                <wp:lineTo x="14955" y="20397"/>
                <wp:lineTo x="14955" y="21159"/>
                <wp:lineTo x="15293" y="21243"/>
                <wp:lineTo x="15293" y="21582"/>
                <wp:lineTo x="14850" y="21582"/>
                <wp:lineTo x="14850" y="18958"/>
                <wp:lineTo x="14850" y="11917"/>
                <wp:lineTo x="14681" y="12103"/>
                <wp:lineTo x="14597" y="12780"/>
                <wp:lineTo x="14597" y="16673"/>
                <wp:lineTo x="14196" y="16673"/>
                <wp:lineTo x="14196" y="18958"/>
                <wp:lineTo x="14323" y="19128"/>
                <wp:lineTo x="14597" y="20820"/>
                <wp:lineTo x="14597" y="18958"/>
                <wp:lineTo x="14681" y="18958"/>
                <wp:lineTo x="14681" y="21582"/>
                <wp:lineTo x="14555" y="21413"/>
                <wp:lineTo x="14280" y="19720"/>
                <wp:lineTo x="14280" y="21582"/>
                <wp:lineTo x="14196" y="21582"/>
                <wp:lineTo x="14196" y="18958"/>
                <wp:lineTo x="14196" y="16673"/>
                <wp:lineTo x="14238" y="8717"/>
                <wp:lineTo x="14576" y="8040"/>
                <wp:lineTo x="14576" y="0"/>
                <wp:lineTo x="16179" y="0"/>
                <wp:lineTo x="16179" y="10326"/>
                <wp:lineTo x="16706" y="10495"/>
                <wp:lineTo x="16980" y="11426"/>
                <wp:lineTo x="17023" y="16673"/>
                <wp:lineTo x="16938" y="16673"/>
                <wp:lineTo x="16938" y="18958"/>
                <wp:lineTo x="17065" y="19036"/>
                <wp:lineTo x="17065" y="19382"/>
                <wp:lineTo x="16896" y="19551"/>
                <wp:lineTo x="16896" y="20990"/>
                <wp:lineTo x="17086" y="21243"/>
                <wp:lineTo x="17212" y="20566"/>
                <wp:lineTo x="17149" y="19466"/>
                <wp:lineTo x="17065" y="19382"/>
                <wp:lineTo x="17065" y="19036"/>
                <wp:lineTo x="17212" y="19128"/>
                <wp:lineTo x="17318" y="19889"/>
                <wp:lineTo x="17255" y="21243"/>
                <wp:lineTo x="17107" y="21667"/>
                <wp:lineTo x="16854" y="21413"/>
                <wp:lineTo x="16748" y="20566"/>
                <wp:lineTo x="16812" y="19382"/>
                <wp:lineTo x="16938" y="18958"/>
                <wp:lineTo x="16938" y="16673"/>
                <wp:lineTo x="16622" y="16673"/>
                <wp:lineTo x="16601" y="16419"/>
                <wp:lineTo x="16179" y="16842"/>
                <wp:lineTo x="15968" y="16447"/>
                <wp:lineTo x="15968" y="18958"/>
                <wp:lineTo x="16073" y="18958"/>
                <wp:lineTo x="16158" y="20651"/>
                <wp:lineTo x="16263" y="18958"/>
                <wp:lineTo x="16369" y="18958"/>
                <wp:lineTo x="16495" y="20736"/>
                <wp:lineTo x="16580" y="18958"/>
                <wp:lineTo x="16664" y="18958"/>
                <wp:lineTo x="16537" y="21582"/>
                <wp:lineTo x="16411" y="21413"/>
                <wp:lineTo x="16305" y="19720"/>
                <wp:lineTo x="16200" y="21582"/>
                <wp:lineTo x="16073" y="21497"/>
                <wp:lineTo x="15968" y="18958"/>
                <wp:lineTo x="15968" y="16447"/>
                <wp:lineTo x="15862" y="16250"/>
                <wp:lineTo x="15715" y="15404"/>
                <wp:lineTo x="15736" y="13626"/>
                <wp:lineTo x="15968" y="12780"/>
                <wp:lineTo x="16411" y="12547"/>
                <wp:lineTo x="16411" y="13880"/>
                <wp:lineTo x="16158" y="14049"/>
                <wp:lineTo x="16116" y="14727"/>
                <wp:lineTo x="16200" y="15319"/>
                <wp:lineTo x="16537" y="15234"/>
                <wp:lineTo x="16622" y="14896"/>
                <wp:lineTo x="16580" y="13965"/>
                <wp:lineTo x="16411" y="13880"/>
                <wp:lineTo x="16411" y="12547"/>
                <wp:lineTo x="16453" y="12526"/>
                <wp:lineTo x="16622" y="12695"/>
                <wp:lineTo x="16559" y="11849"/>
                <wp:lineTo x="16095" y="11849"/>
                <wp:lineTo x="15947" y="12018"/>
                <wp:lineTo x="15841" y="10833"/>
                <wp:lineTo x="16179" y="10326"/>
                <wp:lineTo x="16179" y="0"/>
                <wp:lineTo x="17887" y="0"/>
                <wp:lineTo x="17887" y="10326"/>
                <wp:lineTo x="18309" y="10495"/>
                <wp:lineTo x="18520" y="11341"/>
                <wp:lineTo x="18605" y="12357"/>
                <wp:lineTo x="18605" y="16673"/>
                <wp:lineTo x="18204" y="16673"/>
                <wp:lineTo x="18162" y="12357"/>
                <wp:lineTo x="18098" y="12101"/>
                <wp:lineTo x="18098" y="18958"/>
                <wp:lineTo x="18204" y="19043"/>
                <wp:lineTo x="18225" y="20059"/>
                <wp:lineTo x="18457" y="18958"/>
                <wp:lineTo x="18562" y="19128"/>
                <wp:lineTo x="18394" y="20059"/>
                <wp:lineTo x="18605" y="21582"/>
                <wp:lineTo x="18457" y="21413"/>
                <wp:lineTo x="18288" y="20312"/>
                <wp:lineTo x="18204" y="20736"/>
                <wp:lineTo x="18204" y="21582"/>
                <wp:lineTo x="18098" y="21582"/>
                <wp:lineTo x="18098" y="18958"/>
                <wp:lineTo x="18098" y="12101"/>
                <wp:lineTo x="18056" y="11934"/>
                <wp:lineTo x="17782" y="12018"/>
                <wp:lineTo x="17677" y="12695"/>
                <wp:lineTo x="17677" y="16673"/>
                <wp:lineTo x="17445" y="16673"/>
                <wp:lineTo x="17445" y="18958"/>
                <wp:lineTo x="17550" y="18998"/>
                <wp:lineTo x="17803" y="19466"/>
                <wp:lineTo x="17550" y="19382"/>
                <wp:lineTo x="17550" y="20228"/>
                <wp:lineTo x="17824" y="20059"/>
                <wp:lineTo x="17803" y="19466"/>
                <wp:lineTo x="17550" y="18998"/>
                <wp:lineTo x="17887" y="19128"/>
                <wp:lineTo x="17951" y="20059"/>
                <wp:lineTo x="17824" y="20736"/>
                <wp:lineTo x="17930" y="21582"/>
                <wp:lineTo x="17803" y="21582"/>
                <wp:lineTo x="17698" y="20566"/>
                <wp:lineTo x="17550" y="20566"/>
                <wp:lineTo x="17550" y="21582"/>
                <wp:lineTo x="17445" y="21582"/>
                <wp:lineTo x="17445" y="18958"/>
                <wp:lineTo x="17445" y="16673"/>
                <wp:lineTo x="17255" y="16673"/>
                <wp:lineTo x="17276" y="10410"/>
                <wp:lineTo x="17677" y="10495"/>
                <wp:lineTo x="17719" y="10749"/>
                <wp:lineTo x="17887" y="10326"/>
                <wp:lineTo x="17887" y="0"/>
                <wp:lineTo x="19216" y="0"/>
                <wp:lineTo x="19216" y="10326"/>
                <wp:lineTo x="19470" y="10438"/>
                <wp:lineTo x="19470" y="11934"/>
                <wp:lineTo x="19259" y="12103"/>
                <wp:lineTo x="19174" y="12949"/>
                <wp:lineTo x="19237" y="14811"/>
                <wp:lineTo x="19364" y="15234"/>
                <wp:lineTo x="19617" y="15065"/>
                <wp:lineTo x="19680" y="14811"/>
                <wp:lineTo x="19638" y="12187"/>
                <wp:lineTo x="19470" y="11934"/>
                <wp:lineTo x="19470" y="10438"/>
                <wp:lineTo x="19596" y="10495"/>
                <wp:lineTo x="19680" y="10749"/>
                <wp:lineTo x="19702" y="10410"/>
                <wp:lineTo x="20102" y="10495"/>
                <wp:lineTo x="20060" y="17350"/>
                <wp:lineTo x="19849" y="18535"/>
                <wp:lineTo x="19427" y="18958"/>
                <wp:lineTo x="19301" y="17689"/>
                <wp:lineTo x="19617" y="17350"/>
                <wp:lineTo x="19680" y="16419"/>
                <wp:lineTo x="19448" y="16842"/>
                <wp:lineTo x="19048" y="16504"/>
                <wp:lineTo x="18816" y="15234"/>
                <wp:lineTo x="18773" y="12949"/>
                <wp:lineTo x="18879" y="11341"/>
                <wp:lineTo x="19153" y="10410"/>
                <wp:lineTo x="19216" y="10326"/>
                <wp:lineTo x="19216" y="0"/>
                <wp:lineTo x="20820" y="0"/>
                <wp:lineTo x="20820" y="10326"/>
                <wp:lineTo x="21030" y="10414"/>
                <wp:lineTo x="21030" y="11849"/>
                <wp:lineTo x="20798" y="11934"/>
                <wp:lineTo x="20693" y="12865"/>
                <wp:lineTo x="21220" y="12865"/>
                <wp:lineTo x="21115" y="11934"/>
                <wp:lineTo x="21030" y="11849"/>
                <wp:lineTo x="21030" y="10414"/>
                <wp:lineTo x="21220" y="10495"/>
                <wp:lineTo x="21473" y="11341"/>
                <wp:lineTo x="21621" y="12949"/>
                <wp:lineTo x="21621" y="14134"/>
                <wp:lineTo x="20693" y="14134"/>
                <wp:lineTo x="20798" y="15065"/>
                <wp:lineTo x="21220" y="15065"/>
                <wp:lineTo x="21305" y="14896"/>
                <wp:lineTo x="21558" y="15911"/>
                <wp:lineTo x="21284" y="16673"/>
                <wp:lineTo x="20714" y="16673"/>
                <wp:lineTo x="20398" y="15658"/>
                <wp:lineTo x="20271" y="14219"/>
                <wp:lineTo x="20334" y="12018"/>
                <wp:lineTo x="20609" y="10664"/>
                <wp:lineTo x="20820" y="10326"/>
                <wp:lineTo x="20820" y="0"/>
                <wp:lineTo x="1709"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C Logo_horiz_full col.png"/>
                    <pic:cNvPicPr>
                      <a:picLocks noChangeAspect="1"/>
                    </pic:cNvPicPr>
                  </pic:nvPicPr>
                  <pic:blipFill>
                    <a:blip r:embed="rId4">
                      <a:extLst/>
                    </a:blip>
                    <a:stretch>
                      <a:fillRect/>
                    </a:stretch>
                  </pic:blipFill>
                  <pic:spPr>
                    <a:xfrm>
                      <a:off x="0" y="0"/>
                      <a:ext cx="1952992" cy="486746"/>
                    </a:xfrm>
                    <a:prstGeom prst="rect">
                      <a:avLst/>
                    </a:prstGeom>
                    <a:ln w="12700" cap="flat">
                      <a:noFill/>
                      <a:miter lim="400000"/>
                    </a:ln>
                    <a:effectLst/>
                  </pic:spPr>
                </pic:pic>
              </a:graphicData>
            </a:graphic>
          </wp:anchor>
        </w:drawing>
      </w:r>
    </w:p>
    <w:p>
      <w:pPr>
        <w:pStyle w:val="Body"/>
        <w:rPr>
          <w:rFonts w:ascii="Calibri" w:cs="Calibri" w:hAnsi="Calibri" w:eastAsia="Calibri"/>
          <w:b w:val="1"/>
          <w:bCs w:val="1"/>
        </w:rPr>
      </w:pPr>
      <w:r>
        <w:rPr>
          <w:rFonts w:ascii="Calibri" w:cs="Calibri" w:hAnsi="Calibri" w:eastAsia="Calibri"/>
          <w:b w:val="1"/>
          <w:bCs w:val="1"/>
          <w:rtl w:val="0"/>
          <w:lang w:val="en-US"/>
        </w:rPr>
        <w:t>Focus Area 4: Road User Choices</w:t>
      </w:r>
    </w:p>
    <w:p>
      <w:pPr>
        <w:pStyle w:val="Body"/>
        <w:spacing w:after="0"/>
        <w:rPr>
          <w:rFonts w:ascii="Calibri" w:cs="Calibri" w:hAnsi="Calibri" w:eastAsia="Calibri"/>
          <w:b w:val="1"/>
          <w:bCs w:val="1"/>
        </w:rPr>
      </w:pPr>
      <w:r>
        <w:rPr>
          <w:rFonts w:ascii="Calibri" w:cs="Calibri" w:hAnsi="Calibri" w:eastAsia="Calibri"/>
          <w:b w:val="1"/>
          <w:bCs w:val="1"/>
          <w:rtl w:val="0"/>
          <w:lang w:val="fr-FR"/>
        </w:rPr>
        <w:t>Action</w:t>
      </w:r>
    </w:p>
    <w:tbl>
      <w:tblPr>
        <w:tblW w:w="1394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6658"/>
        <w:gridCol w:w="1275"/>
        <w:gridCol w:w="709"/>
        <w:gridCol w:w="1985"/>
        <w:gridCol w:w="1700"/>
        <w:gridCol w:w="1620"/>
      </w:tblGrid>
      <w:tr>
        <w:tblPrEx>
          <w:shd w:val="clear" w:color="auto" w:fill="cdd4e9"/>
        </w:tblPrEx>
        <w:trPr>
          <w:trHeight w:val="250" w:hRule="atLeast"/>
        </w:trPr>
        <w:tc>
          <w:tcPr>
            <w:tcW w:type="dxa" w:w="10627"/>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i w:val="1"/>
                <w:iCs w:val="1"/>
                <w:sz w:val="22"/>
                <w:szCs w:val="22"/>
                <w:rtl w:val="0"/>
                <w:lang w:val="en-US"/>
              </w:rPr>
              <w:t>Increasing access to driver training and licensing.</w:t>
            </w:r>
          </w:p>
        </w:tc>
        <w:tc>
          <w:tcPr>
            <w:tcW w:type="dxa" w:w="1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430" w:hRule="atLeast"/>
        </w:trPr>
        <w:tc>
          <w:tcPr>
            <w:tcW w:type="dxa" w:w="13947"/>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i w:val="1"/>
                <w:iCs w:val="1"/>
                <w:sz w:val="20"/>
                <w:szCs w:val="20"/>
              </w:rPr>
            </w:pPr>
            <w:r>
              <w:rPr>
                <w:i w:val="1"/>
                <w:iCs w:val="1"/>
                <w:sz w:val="20"/>
                <w:szCs w:val="20"/>
                <w:rtl w:val="0"/>
                <w:lang w:val="en-US"/>
              </w:rPr>
              <w:t>“</w:t>
            </w:r>
            <w:r>
              <w:rPr>
                <w:i w:val="1"/>
                <w:iCs w:val="1"/>
                <w:sz w:val="20"/>
                <w:szCs w:val="20"/>
                <w:rtl w:val="0"/>
                <w:lang w:val="en-US"/>
              </w:rPr>
              <w:t>Early engagement to understand the barriers people face to getting a driver licence has shown that improved driver licence support and operational changes could make a big difference. Te Manat</w:t>
            </w:r>
            <w:r>
              <w:rPr>
                <w:i w:val="1"/>
                <w:iCs w:val="1"/>
                <w:sz w:val="20"/>
                <w:szCs w:val="20"/>
                <w:rtl w:val="0"/>
                <w:lang w:val="en-US"/>
              </w:rPr>
              <w:t xml:space="preserve">ū </w:t>
            </w:r>
            <w:r>
              <w:rPr>
                <w:i w:val="1"/>
                <w:iCs w:val="1"/>
                <w:sz w:val="20"/>
                <w:szCs w:val="20"/>
                <w:rtl w:val="0"/>
                <w:lang w:val="en-US"/>
              </w:rPr>
              <w:t xml:space="preserve">Waka, Waka Kotahi and the Ministry of Social Development have been working together to support drivers to enter and progress through the licensing system to become safe and competent drivers. Funding has been made available from Budget 22 to target assistance for learners who are most disadvantaged in accessing driver licensing support. Some of this funding also supports improvements to the Waka Kotahi and ACC DRIVE programme that supports young drivers to learn to drive safely. Young drivers that have participated in the DRIVE education programme make approximately 40% fewer ACC claims than young drivers that have not participated. This is important as young drivers make up 13% of licensed drivers but are responsible for 30% of serious injury crashes and 26% of fatal crashes. </w:t>
            </w:r>
          </w:p>
          <w:p>
            <w:pPr>
              <w:pStyle w:val="Body"/>
              <w:spacing w:after="0" w:line="240" w:lineRule="auto"/>
              <w:rPr>
                <w:i w:val="1"/>
                <w:iCs w:val="1"/>
                <w:sz w:val="20"/>
                <w:szCs w:val="20"/>
                <w:lang w:val="en-US"/>
              </w:rPr>
            </w:pPr>
          </w:p>
          <w:p>
            <w:pPr>
              <w:pStyle w:val="Body"/>
              <w:bidi w:val="0"/>
              <w:spacing w:after="0" w:line="240" w:lineRule="auto"/>
              <w:ind w:left="0" w:right="0" w:firstLine="0"/>
              <w:jc w:val="left"/>
              <w:rPr>
                <w:rtl w:val="0"/>
              </w:rPr>
            </w:pPr>
            <w:r>
              <w:rPr>
                <w:rFonts w:ascii="Calibri" w:cs="Calibri" w:hAnsi="Calibri" w:eastAsia="Calibri"/>
                <w:i w:val="1"/>
                <w:iCs w:val="1"/>
                <w:sz w:val="20"/>
                <w:szCs w:val="20"/>
                <w:rtl w:val="0"/>
                <w:lang w:val="en-US"/>
              </w:rPr>
              <w:t>Waka Kotahi has also established a Driver Licensing Improvement Programme to improve access to the driver licensing system for those who want or need it. This programme will see Waka Kotahi take a leadership role in improving delivery and coordination across the driver licensing system with a strong focus on supporting people to access and progress through the licensing system.</w:t>
            </w:r>
            <w:r>
              <w:rPr>
                <w:rFonts w:ascii="Calibri" w:cs="Calibri" w:hAnsi="Calibri" w:eastAsia="Calibri"/>
                <w:i w:val="1"/>
                <w:iCs w:val="1"/>
                <w:sz w:val="20"/>
                <w:szCs w:val="20"/>
                <w:rtl w:val="0"/>
                <w:lang w:val="en-US"/>
              </w:rPr>
              <w:t>”</w:t>
            </w:r>
          </w:p>
        </w:tc>
      </w:tr>
      <w:tr>
        <w:tblPrEx>
          <w:shd w:val="clear" w:color="auto" w:fill="cdd4e9"/>
        </w:tblPrEx>
        <w:trPr>
          <w:trHeight w:val="250" w:hRule="atLeast"/>
        </w:trPr>
        <w:tc>
          <w:tcPr>
            <w:tcW w:type="dxa" w:w="793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8"/>
                <w:szCs w:val="18"/>
                <w:rtl w:val="0"/>
                <w:lang w:val="en-US"/>
              </w:rPr>
              <w:t>Extracts page 13</w:t>
            </w:r>
          </w:p>
        </w:tc>
        <w:tc>
          <w:tcPr>
            <w:tcW w:type="dxa" w:w="601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rtl w:val="0"/>
                <w:lang w:val="en-US"/>
              </w:rPr>
              <w:t>Comments</w:t>
            </w:r>
          </w:p>
        </w:tc>
      </w:tr>
      <w:tr>
        <w:tblPrEx>
          <w:shd w:val="clear" w:color="auto" w:fill="cdd4e9"/>
        </w:tblPrEx>
        <w:trPr>
          <w:trHeight w:val="810" w:hRule="atLeast"/>
        </w:trPr>
        <w:tc>
          <w:tcPr>
            <w:tcW w:type="dxa" w:w="793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8"/>
                <w:szCs w:val="18"/>
                <w:rtl w:val="0"/>
                <w:lang w:val="en-US"/>
              </w:rPr>
              <w:br w:type="textWrapping"/>
              <w:t>“</w:t>
            </w:r>
            <w:r>
              <w:rPr>
                <w:sz w:val="18"/>
                <w:szCs w:val="18"/>
                <w:rtl w:val="0"/>
                <w:lang w:val="en-US"/>
              </w:rPr>
              <w:t>Early engagement to understand the barriers people face to getting a driver licence has shown that improved driver licence support and operational changes could make a big difference.</w:t>
            </w:r>
            <w:r>
              <w:rPr>
                <w:sz w:val="18"/>
                <w:szCs w:val="18"/>
                <w:rtl w:val="0"/>
                <w:lang w:val="en-US"/>
              </w:rPr>
              <w:t>”</w:t>
            </w:r>
          </w:p>
        </w:tc>
        <w:tc>
          <w:tcPr>
            <w:tcW w:type="dxa" w:w="601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8"/>
                <w:szCs w:val="18"/>
                <w:rtl w:val="0"/>
                <w:lang w:val="en-US"/>
              </w:rPr>
              <w:t>Early engagement should be targeted at those just entering or about to enter the GDLS, which would mean greater support and focus to Secondary school students. This should be identified as a focus area within this focus area.</w:t>
            </w:r>
          </w:p>
        </w:tc>
      </w:tr>
      <w:tr>
        <w:tblPrEx>
          <w:shd w:val="clear" w:color="auto" w:fill="cdd4e9"/>
        </w:tblPrEx>
        <w:trPr>
          <w:trHeight w:val="610" w:hRule="atLeast"/>
        </w:trPr>
        <w:tc>
          <w:tcPr>
            <w:tcW w:type="dxa" w:w="793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8"/>
                <w:szCs w:val="18"/>
                <w:rtl w:val="0"/>
                <w:lang w:val="en-US"/>
              </w:rPr>
              <w:t>“</w:t>
            </w:r>
            <w:r>
              <w:rPr>
                <w:sz w:val="18"/>
                <w:szCs w:val="18"/>
                <w:rtl w:val="0"/>
                <w:lang w:val="en-US"/>
              </w:rPr>
              <w:t>Te Manat</w:t>
            </w:r>
            <w:r>
              <w:rPr>
                <w:sz w:val="18"/>
                <w:szCs w:val="18"/>
                <w:rtl w:val="0"/>
                <w:lang w:val="en-US"/>
              </w:rPr>
              <w:t xml:space="preserve">ū </w:t>
            </w:r>
            <w:r>
              <w:rPr>
                <w:sz w:val="18"/>
                <w:szCs w:val="18"/>
                <w:rtl w:val="0"/>
                <w:lang w:val="en-US"/>
              </w:rPr>
              <w:t>Waka, Waka Kotahi and the Ministry of Social Development have been working together to support drivers to enter and progress through the licensing system to become safe and competent drivers</w:t>
            </w:r>
            <w:r>
              <w:rPr>
                <w:sz w:val="18"/>
                <w:szCs w:val="18"/>
                <w:rtl w:val="0"/>
                <w:lang w:val="en-US"/>
              </w:rPr>
              <w:t>”</w:t>
            </w:r>
          </w:p>
        </w:tc>
        <w:tc>
          <w:tcPr>
            <w:tcW w:type="dxa" w:w="601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8"/>
                <w:szCs w:val="18"/>
                <w:rtl w:val="0"/>
                <w:lang w:val="en-US"/>
              </w:rPr>
              <w:t xml:space="preserve">The combined agency group should actively include the </w:t>
            </w:r>
            <w:r>
              <w:rPr>
                <w:rFonts w:ascii="Calibri" w:cs="Calibri" w:hAnsi="Calibri" w:eastAsia="Calibri"/>
                <w:b w:val="1"/>
                <w:bCs w:val="1"/>
                <w:sz w:val="18"/>
                <w:szCs w:val="18"/>
                <w:rtl w:val="0"/>
                <w:lang w:val="en-US"/>
              </w:rPr>
              <w:t>Ministry of Education</w:t>
            </w:r>
            <w:r>
              <w:rPr>
                <w:sz w:val="18"/>
                <w:szCs w:val="18"/>
                <w:rtl w:val="0"/>
                <w:lang w:val="en-US"/>
              </w:rPr>
              <w:t xml:space="preserve"> given that the largest majority of drivers entering the licensing system are from Secondary schools.</w:t>
            </w:r>
          </w:p>
        </w:tc>
      </w:tr>
      <w:tr>
        <w:tblPrEx>
          <w:shd w:val="clear" w:color="auto" w:fill="cdd4e9"/>
        </w:tblPrEx>
        <w:trPr>
          <w:trHeight w:val="1670" w:hRule="atLeast"/>
        </w:trPr>
        <w:tc>
          <w:tcPr>
            <w:tcW w:type="dxa" w:w="793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8"/>
                <w:szCs w:val="18"/>
                <w:rtl w:val="0"/>
                <w:lang w:val="en-US"/>
              </w:rPr>
              <w:t>“</w:t>
            </w:r>
            <w:r>
              <w:rPr>
                <w:sz w:val="18"/>
                <w:szCs w:val="18"/>
                <w:rtl w:val="0"/>
                <w:lang w:val="en-US"/>
              </w:rPr>
              <w:t>Funding has been made available from Budget 22 to target assistance for learners who are most disadvantaged in accessing driver licensing support. Some of this funding also supports improvements to the Waka Kotahi and ACC DRIVE programme that supports young drivers to learn to drive safely.</w:t>
            </w:r>
            <w:r>
              <w:rPr>
                <w:sz w:val="18"/>
                <w:szCs w:val="18"/>
                <w:rtl w:val="0"/>
                <w:lang w:val="en-US"/>
              </w:rPr>
              <w:t>”</w:t>
            </w:r>
          </w:p>
        </w:tc>
        <w:tc>
          <w:tcPr>
            <w:tcW w:type="dxa" w:w="601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z w:val="18"/>
                <w:szCs w:val="18"/>
              </w:rPr>
            </w:pPr>
            <w:r>
              <w:rPr>
                <w:sz w:val="18"/>
                <w:szCs w:val="18"/>
                <w:rtl w:val="0"/>
                <w:lang w:val="en-US"/>
              </w:rPr>
              <w:t xml:space="preserve">Those most disadvantaged in accessing licensing support are often those that have no or limited access to the internet, data, and computers therefore </w:t>
            </w:r>
            <w:r>
              <w:rPr>
                <w:sz w:val="18"/>
                <w:szCs w:val="18"/>
                <w:rtl w:val="0"/>
                <w:lang w:val="en-US"/>
              </w:rPr>
              <w:t>‘</w:t>
            </w:r>
            <w:r>
              <w:rPr>
                <w:sz w:val="18"/>
                <w:szCs w:val="18"/>
                <w:rtl w:val="0"/>
                <w:lang w:val="en-US"/>
              </w:rPr>
              <w:t>some</w:t>
            </w:r>
            <w:r>
              <w:rPr>
                <w:sz w:val="18"/>
                <w:szCs w:val="18"/>
                <w:rtl w:val="0"/>
                <w:lang w:val="en-US"/>
              </w:rPr>
              <w:t xml:space="preserve">’ </w:t>
            </w:r>
            <w:r>
              <w:rPr>
                <w:sz w:val="18"/>
                <w:szCs w:val="18"/>
                <w:rtl w:val="0"/>
                <w:lang w:val="en-US"/>
              </w:rPr>
              <w:t>funding should be supporting access to these tools c.</w:t>
            </w:r>
          </w:p>
          <w:p>
            <w:pPr>
              <w:pStyle w:val="Body"/>
              <w:bidi w:val="0"/>
              <w:spacing w:after="0" w:line="240" w:lineRule="auto"/>
              <w:ind w:left="0" w:right="0" w:firstLine="0"/>
              <w:jc w:val="left"/>
              <w:rPr>
                <w:rtl w:val="0"/>
              </w:rPr>
            </w:pPr>
            <w:r>
              <w:rPr>
                <w:rFonts w:ascii="Segoe UI" w:cs="Segoe UI" w:hAnsi="Segoe UI" w:eastAsia="Segoe UI"/>
                <w:sz w:val="18"/>
                <w:szCs w:val="18"/>
                <w:rtl w:val="0"/>
                <w:lang w:val="en-US"/>
              </w:rPr>
              <w:t>Investigate possibility of creating a new Student Loan criteria for those accessing Driver Education Programmes (subsidised model) in collaboration with RoVE initiative.</w:t>
            </w:r>
            <w:r>
              <w:rPr>
                <w:sz w:val="18"/>
                <w:szCs w:val="18"/>
              </w:rPr>
            </w:r>
          </w:p>
        </w:tc>
      </w:tr>
      <w:tr>
        <w:tblPrEx>
          <w:shd w:val="clear" w:color="auto" w:fill="cdd4e9"/>
        </w:tblPrEx>
        <w:trPr>
          <w:trHeight w:val="1010" w:hRule="atLeast"/>
        </w:trPr>
        <w:tc>
          <w:tcPr>
            <w:tcW w:type="dxa" w:w="793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8"/>
                <w:szCs w:val="18"/>
                <w:rtl w:val="0"/>
                <w:lang w:val="en-US"/>
              </w:rPr>
              <w:t>“</w:t>
            </w:r>
            <w:r>
              <w:rPr>
                <w:sz w:val="18"/>
                <w:szCs w:val="18"/>
                <w:rtl w:val="0"/>
                <w:lang w:val="en-US"/>
              </w:rPr>
              <w:t>Young drivers that have participated in the DRIVE education programme make approximately 40% fewer ACC claims than young drivers that have not participated. This is important as young drivers make up 13% of licensed drivers but are responsible for 30% of serious injury crashes and 26% of fatal crashes.</w:t>
            </w:r>
            <w:r>
              <w:rPr>
                <w:sz w:val="18"/>
                <w:szCs w:val="18"/>
                <w:rtl w:val="0"/>
                <w:lang w:val="en-US"/>
              </w:rPr>
              <w:t>”</w:t>
            </w:r>
            <w:r>
              <w:rPr>
                <w:sz w:val="18"/>
                <w:szCs w:val="18"/>
              </w:rPr>
            </w:r>
          </w:p>
        </w:tc>
        <w:tc>
          <w:tcPr>
            <w:tcW w:type="dxa" w:w="601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8"/>
                <w:szCs w:val="18"/>
                <w:rtl w:val="0"/>
                <w:lang w:val="en-US"/>
              </w:rPr>
              <w:t xml:space="preserve">Whilst we recognise this as an excellent educational tool and no doubt the improvement in accident statistics of those completing the programme, however, those </w:t>
            </w:r>
            <w:r>
              <w:rPr>
                <w:sz w:val="18"/>
                <w:szCs w:val="18"/>
                <w:rtl w:val="0"/>
                <w:lang w:val="en-US"/>
              </w:rPr>
              <w:t>‘</w:t>
            </w:r>
            <w:r>
              <w:rPr>
                <w:sz w:val="18"/>
                <w:szCs w:val="18"/>
                <w:rtl w:val="0"/>
                <w:lang w:val="en-US"/>
              </w:rPr>
              <w:t>at risk</w:t>
            </w:r>
            <w:r>
              <w:rPr>
                <w:sz w:val="18"/>
                <w:szCs w:val="18"/>
                <w:rtl w:val="0"/>
                <w:lang w:val="en-US"/>
              </w:rPr>
              <w:t xml:space="preserve">’ </w:t>
            </w:r>
            <w:r>
              <w:rPr>
                <w:sz w:val="18"/>
                <w:szCs w:val="18"/>
                <w:rtl w:val="0"/>
                <w:lang w:val="en-US"/>
              </w:rPr>
              <w:t xml:space="preserve">and highlighted on page 1 of the </w:t>
            </w:r>
            <w:r>
              <w:rPr>
                <w:sz w:val="18"/>
                <w:szCs w:val="18"/>
                <w:rtl w:val="0"/>
                <w:lang w:val="en-US"/>
              </w:rPr>
              <w:t>‘</w:t>
            </w:r>
            <w:r>
              <w:rPr>
                <w:sz w:val="18"/>
                <w:szCs w:val="18"/>
                <w:rtl w:val="0"/>
                <w:lang w:val="en-US"/>
              </w:rPr>
              <w:t>disproportionate harm</w:t>
            </w:r>
            <w:r>
              <w:rPr>
                <w:sz w:val="18"/>
                <w:szCs w:val="18"/>
                <w:rtl w:val="0"/>
                <w:lang w:val="en-US"/>
              </w:rPr>
              <w:t xml:space="preserve">’ </w:t>
            </w:r>
            <w:r>
              <w:rPr>
                <w:sz w:val="18"/>
                <w:szCs w:val="18"/>
                <w:rtl w:val="0"/>
                <w:lang w:val="en-US"/>
              </w:rPr>
              <w:t>to M</w:t>
            </w:r>
            <w:r>
              <w:rPr>
                <w:sz w:val="18"/>
                <w:szCs w:val="18"/>
                <w:rtl w:val="0"/>
                <w:lang w:val="en-US"/>
              </w:rPr>
              <w:t>ā</w:t>
            </w:r>
            <w:r>
              <w:rPr>
                <w:sz w:val="18"/>
                <w:szCs w:val="18"/>
                <w:rtl w:val="0"/>
                <w:lang w:val="en-US"/>
              </w:rPr>
              <w:t xml:space="preserve">ori is not reflected when measuring </w:t>
            </w:r>
            <w:r>
              <w:rPr>
                <w:sz w:val="18"/>
                <w:szCs w:val="18"/>
                <w:rtl w:val="0"/>
                <w:lang w:val="en-US"/>
              </w:rPr>
              <w:t>‘</w:t>
            </w:r>
            <w:r>
              <w:rPr>
                <w:sz w:val="18"/>
                <w:szCs w:val="18"/>
                <w:rtl w:val="0"/>
                <w:lang w:val="en-US"/>
              </w:rPr>
              <w:t>best</w:t>
            </w:r>
            <w:r>
              <w:rPr>
                <w:sz w:val="18"/>
                <w:szCs w:val="18"/>
                <w:rtl w:val="0"/>
                <w:lang w:val="en-US"/>
              </w:rPr>
              <w:t xml:space="preserve">’ </w:t>
            </w:r>
            <w:r>
              <w:rPr>
                <w:sz w:val="18"/>
                <w:szCs w:val="18"/>
                <w:rtl w:val="0"/>
                <w:lang w:val="en-US"/>
              </w:rPr>
              <w:t>ways to increase access to driver licensing, via these statements.</w:t>
            </w:r>
          </w:p>
        </w:tc>
      </w:tr>
      <w:tr>
        <w:tblPrEx>
          <w:shd w:val="clear" w:color="auto" w:fill="cdd4e9"/>
        </w:tblPrEx>
        <w:trPr>
          <w:trHeight w:val="210" w:hRule="atLeast"/>
        </w:trPr>
        <w:tc>
          <w:tcPr>
            <w:tcW w:type="dxa" w:w="793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8"/>
                <w:szCs w:val="18"/>
                <w:rtl w:val="0"/>
                <w:lang w:val="en-US"/>
              </w:rPr>
              <w:t xml:space="preserve">Extract page 7 </w:t>
            </w:r>
            <w:r>
              <w:rPr>
                <w:sz w:val="18"/>
                <w:szCs w:val="18"/>
                <w:rtl w:val="0"/>
                <w:lang w:val="en-US"/>
              </w:rPr>
              <w:t>‘</w:t>
            </w:r>
            <w:r>
              <w:rPr>
                <w:sz w:val="18"/>
                <w:szCs w:val="18"/>
                <w:rtl w:val="0"/>
                <w:lang w:val="en-US"/>
              </w:rPr>
              <w:t>Equitable Impacts</w:t>
            </w:r>
            <w:r>
              <w:rPr>
                <w:sz w:val="18"/>
                <w:szCs w:val="18"/>
                <w:rtl w:val="0"/>
                <w:lang w:val="en-US"/>
              </w:rPr>
              <w:t>’</w:t>
            </w:r>
            <w:r>
              <w:rPr>
                <w:sz w:val="18"/>
                <w:szCs w:val="18"/>
                <w:rtl w:val="0"/>
                <w:lang w:val="en-US"/>
              </w:rPr>
              <w:t>.</w:t>
            </w:r>
          </w:p>
        </w:tc>
        <w:tc>
          <w:tcPr>
            <w:tcW w:type="dxa" w:w="601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210" w:hRule="atLeast"/>
        </w:trPr>
        <w:tc>
          <w:tcPr>
            <w:tcW w:type="dxa" w:w="793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8"/>
                <w:szCs w:val="18"/>
                <w:rtl w:val="0"/>
                <w:lang w:val="en-US"/>
              </w:rPr>
              <w:t>“</w:t>
            </w:r>
            <w:r>
              <w:rPr>
                <w:sz w:val="18"/>
                <w:szCs w:val="18"/>
                <w:rtl w:val="0"/>
                <w:lang w:val="en-US"/>
              </w:rPr>
              <w:t>We know from research undertaken through the first Road to Zero Action Plan that M</w:t>
            </w:r>
            <w:r>
              <w:rPr>
                <w:sz w:val="18"/>
                <w:szCs w:val="18"/>
                <w:rtl w:val="0"/>
                <w:lang w:val="en-US"/>
              </w:rPr>
              <w:t>ā</w:t>
            </w:r>
            <w:r>
              <w:rPr>
                <w:sz w:val="18"/>
                <w:szCs w:val="18"/>
                <w:rtl w:val="0"/>
                <w:lang w:val="en-US"/>
              </w:rPr>
              <w:t>ori experience disproportionate harm in the land transport system compared to non-M</w:t>
            </w:r>
            <w:r>
              <w:rPr>
                <w:sz w:val="18"/>
                <w:szCs w:val="18"/>
                <w:rtl w:val="0"/>
                <w:lang w:val="en-US"/>
              </w:rPr>
              <w:t>ā</w:t>
            </w:r>
            <w:r>
              <w:rPr>
                <w:sz w:val="18"/>
                <w:szCs w:val="18"/>
                <w:rtl w:val="0"/>
                <w:lang w:val="en-US"/>
              </w:rPr>
              <w:t>ori.4 The research points to important contextual considerations for M</w:t>
            </w:r>
            <w:r>
              <w:rPr>
                <w:sz w:val="18"/>
                <w:szCs w:val="18"/>
                <w:rtl w:val="0"/>
                <w:lang w:val="en-US"/>
              </w:rPr>
              <w:t>ā</w:t>
            </w:r>
            <w:r>
              <w:rPr>
                <w:sz w:val="18"/>
                <w:szCs w:val="18"/>
                <w:rtl w:val="0"/>
                <w:lang w:val="en-US"/>
              </w:rPr>
              <w:t>ori road safety outcomes, including geographical and age distribution and deprivation status of M</w:t>
            </w:r>
            <w:r>
              <w:rPr>
                <w:sz w:val="18"/>
                <w:szCs w:val="18"/>
                <w:rtl w:val="0"/>
                <w:lang w:val="en-US"/>
              </w:rPr>
              <w:t>ā</w:t>
            </w:r>
            <w:r>
              <w:rPr>
                <w:sz w:val="18"/>
                <w:szCs w:val="18"/>
                <w:rtl w:val="0"/>
                <w:lang w:val="en-US"/>
              </w:rPr>
              <w:t>ori. Addressing factors such as vehicle safety and occupant numbers, longer trips on higher risk remote rural roads, and systemic barriers to safe road use are likely to improve road safety outcomes for M</w:t>
            </w:r>
            <w:r>
              <w:rPr>
                <w:sz w:val="18"/>
                <w:szCs w:val="18"/>
                <w:rtl w:val="0"/>
                <w:lang w:val="en-US"/>
              </w:rPr>
              <w:t>ā</w:t>
            </w:r>
            <w:r>
              <w:rPr>
                <w:sz w:val="18"/>
                <w:szCs w:val="18"/>
                <w:rtl w:val="0"/>
                <w:lang w:val="en-US"/>
              </w:rPr>
              <w:t>ori.</w:t>
            </w:r>
            <w:r>
              <w:rPr>
                <w:sz w:val="18"/>
                <w:szCs w:val="18"/>
                <w:rtl w:val="0"/>
                <w:lang w:val="en-US"/>
              </w:rPr>
              <w:t>”</w:t>
            </w:r>
          </w:p>
        </w:tc>
        <w:tc>
          <w:tcPr>
            <w:tcW w:type="dxa" w:w="601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8"/>
                <w:szCs w:val="18"/>
                <w:rtl w:val="0"/>
                <w:lang w:val="en-US"/>
              </w:rPr>
              <w:t>Community-centric driver programme providers, driving instructors and driving schools are critical to improve and achieve better outcomes for M</w:t>
            </w:r>
            <w:r>
              <w:rPr>
                <w:sz w:val="18"/>
                <w:szCs w:val="18"/>
                <w:rtl w:val="0"/>
                <w:lang w:val="en-US"/>
              </w:rPr>
              <w:t>ā</w:t>
            </w:r>
            <w:r>
              <w:rPr>
                <w:sz w:val="18"/>
                <w:szCs w:val="18"/>
                <w:rtl w:val="0"/>
                <w:lang w:val="en-US"/>
              </w:rPr>
              <w:t>ori, Pacifica, migrants, and other communities that have inequitable road safety outcomes due to their gender, ethnicity, income levels or location.</w:t>
            </w:r>
          </w:p>
        </w:tc>
      </w:tr>
      <w:tr>
        <w:tblPrEx>
          <w:shd w:val="clear" w:color="auto" w:fill="cdd4e9"/>
        </w:tblPrEx>
        <w:trPr>
          <w:trHeight w:val="1210" w:hRule="atLeast"/>
        </w:trPr>
        <w:tc>
          <w:tcPr>
            <w:tcW w:type="dxa" w:w="793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8"/>
                <w:szCs w:val="18"/>
                <w:rtl w:val="0"/>
                <w:lang w:val="en-US"/>
              </w:rPr>
              <w:t>“</w:t>
            </w:r>
            <w:r>
              <w:rPr>
                <w:sz w:val="18"/>
                <w:szCs w:val="18"/>
                <w:rtl w:val="0"/>
                <w:lang w:val="en-US"/>
              </w:rPr>
              <w:t>Waka Kotahi has also established a Driver Licensing Improvement Programme to improve access to the driver licensing system for those who want or need it. This programme will see Waka Kotahi take a leadership role in improving delivery and coordination across the driver licensing system with a strong focus on supporting people to access and progress through the licensing system.</w:t>
            </w:r>
            <w:r>
              <w:rPr>
                <w:sz w:val="18"/>
                <w:szCs w:val="18"/>
                <w:rtl w:val="0"/>
                <w:lang w:val="en-US"/>
              </w:rPr>
              <w:t>”</w:t>
            </w:r>
          </w:p>
        </w:tc>
        <w:tc>
          <w:tcPr>
            <w:tcW w:type="dxa" w:w="601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x_msolistparagraph"/>
              <w:shd w:val="clear" w:color="auto" w:fill="ffffff"/>
              <w:spacing w:before="0" w:after="0"/>
            </w:pPr>
            <w:r>
              <w:rPr>
                <w:rFonts w:ascii="Calibri" w:cs="Calibri" w:hAnsi="Calibri" w:eastAsia="Calibri"/>
                <w:outline w:val="0"/>
                <w:color w:val="000000"/>
                <w:sz w:val="18"/>
                <w:szCs w:val="18"/>
                <w:u w:color="000000"/>
                <w:rtl w:val="0"/>
                <w:lang w:val="en-US"/>
                <w14:textFill>
                  <w14:solidFill>
                    <w14:srgbClr w14:val="000000"/>
                  </w14:solidFill>
                </w14:textFill>
              </w:rPr>
              <w:t xml:space="preserve">There needs to be a commitment to </w:t>
            </w:r>
            <w:r>
              <w:rPr>
                <w:rFonts w:ascii="Calibri" w:cs="Calibri" w:hAnsi="Calibri" w:eastAsia="Calibri"/>
                <w:b w:val="1"/>
                <w:bCs w:val="1"/>
                <w:outline w:val="0"/>
                <w:color w:val="201f1e"/>
                <w:sz w:val="18"/>
                <w:szCs w:val="18"/>
                <w:u w:color="201f1e"/>
                <w:rtl w:val="0"/>
                <w:lang w:val="en-US"/>
                <w14:textFill>
                  <w14:solidFill>
                    <w14:srgbClr w14:val="201F1E"/>
                  </w14:solidFill>
                </w14:textFill>
              </w:rPr>
              <w:t>Co-design</w:t>
            </w:r>
            <w:r>
              <w:rPr>
                <w:rFonts w:ascii="Calibri" w:cs="Calibri" w:hAnsi="Calibri" w:eastAsia="Calibri"/>
                <w:outline w:val="0"/>
                <w:color w:val="201f1e"/>
                <w:sz w:val="18"/>
                <w:szCs w:val="18"/>
                <w:u w:color="201f1e"/>
                <w:rtl w:val="0"/>
                <w:lang w:val="en-US"/>
                <w14:textFill>
                  <w14:solidFill>
                    <w14:srgbClr w14:val="201F1E"/>
                  </w14:solidFill>
                </w14:textFill>
              </w:rPr>
              <w:t> </w:t>
            </w:r>
            <w:r>
              <w:rPr>
                <w:rFonts w:ascii="Calibri" w:cs="Calibri" w:hAnsi="Calibri" w:eastAsia="Calibri"/>
                <w:outline w:val="0"/>
                <w:color w:val="201f1e"/>
                <w:sz w:val="18"/>
                <w:szCs w:val="18"/>
                <w:u w:color="201f1e"/>
                <w:rtl w:val="0"/>
                <w:lang w:val="en-US"/>
                <w14:textFill>
                  <w14:solidFill>
                    <w14:srgbClr w14:val="201F1E"/>
                  </w14:solidFill>
                </w14:textFill>
              </w:rPr>
              <w:t>vs consultation with field experts (ie: providers in communities) required when investigating system changes. The strategy is light in referencing the Government</w:t>
            </w:r>
            <w:r>
              <w:rPr>
                <w:rFonts w:ascii="Calibri" w:cs="Calibri" w:hAnsi="Calibri" w:eastAsia="Calibri"/>
                <w:outline w:val="0"/>
                <w:color w:val="201f1e"/>
                <w:sz w:val="18"/>
                <w:szCs w:val="18"/>
                <w:u w:color="201f1e"/>
                <w:rtl w:val="0"/>
                <w:lang w:val="en-US"/>
                <w14:textFill>
                  <w14:solidFill>
                    <w14:srgbClr w14:val="201F1E"/>
                  </w14:solidFill>
                </w14:textFill>
              </w:rPr>
              <w:t>’</w:t>
            </w:r>
            <w:r>
              <w:rPr>
                <w:rFonts w:ascii="Calibri" w:cs="Calibri" w:hAnsi="Calibri" w:eastAsia="Calibri"/>
                <w:outline w:val="0"/>
                <w:color w:val="201f1e"/>
                <w:sz w:val="18"/>
                <w:szCs w:val="18"/>
                <w:u w:color="201f1e"/>
                <w:rtl w:val="0"/>
                <w:lang w:val="en-US"/>
                <w14:textFill>
                  <w14:solidFill>
                    <w14:srgbClr w14:val="201F1E"/>
                  </w14:solidFill>
                </w14:textFill>
              </w:rPr>
              <w:t xml:space="preserve">s commitment to working with groups/organisations/providers who reach </w:t>
            </w:r>
            <w:r>
              <w:rPr>
                <w:rFonts w:ascii="Calibri" w:cs="Calibri" w:hAnsi="Calibri" w:eastAsia="Calibri"/>
                <w:outline w:val="0"/>
                <w:color w:val="201f1e"/>
                <w:sz w:val="18"/>
                <w:szCs w:val="18"/>
                <w:u w:color="201f1e"/>
                <w:rtl w:val="0"/>
                <w:lang w:val="en-US"/>
                <w14:textFill>
                  <w14:solidFill>
                    <w14:srgbClr w14:val="201F1E"/>
                  </w14:solidFill>
                </w14:textFill>
              </w:rPr>
              <w:t>‘</w:t>
            </w:r>
            <w:r>
              <w:rPr>
                <w:rFonts w:ascii="Calibri" w:cs="Calibri" w:hAnsi="Calibri" w:eastAsia="Calibri"/>
                <w:outline w:val="0"/>
                <w:color w:val="201f1e"/>
                <w:sz w:val="18"/>
                <w:szCs w:val="18"/>
                <w:u w:color="201f1e"/>
                <w:rtl w:val="0"/>
                <w:lang w:val="en-US"/>
                <w14:textFill>
                  <w14:solidFill>
                    <w14:srgbClr w14:val="201F1E"/>
                  </w14:solidFill>
                </w14:textFill>
              </w:rPr>
              <w:t>those who want or need it</w:t>
            </w:r>
            <w:r>
              <w:rPr>
                <w:rFonts w:ascii="Calibri" w:cs="Calibri" w:hAnsi="Calibri" w:eastAsia="Calibri"/>
                <w:outline w:val="0"/>
                <w:color w:val="201f1e"/>
                <w:sz w:val="18"/>
                <w:szCs w:val="18"/>
                <w:u w:color="201f1e"/>
                <w:rtl w:val="0"/>
                <w:lang w:val="en-US"/>
                <w14:textFill>
                  <w14:solidFill>
                    <w14:srgbClr w14:val="201F1E"/>
                  </w14:solidFill>
                </w14:textFill>
              </w:rPr>
              <w:t>’</w:t>
            </w:r>
            <w:r>
              <w:rPr>
                <w:rFonts w:ascii="Calibri" w:cs="Calibri" w:hAnsi="Calibri" w:eastAsia="Calibri"/>
                <w:outline w:val="0"/>
                <w:color w:val="201f1e"/>
                <w:sz w:val="18"/>
                <w:szCs w:val="18"/>
                <w:u w:color="201f1e"/>
                <w:rtl w:val="0"/>
                <w:lang w:val="en-US"/>
                <w14:textFill>
                  <w14:solidFill>
                    <w14:srgbClr w14:val="201F1E"/>
                  </w14:solidFill>
                </w14:textFill>
              </w:rPr>
              <w:t>.</w:t>
            </w:r>
            <w:r>
              <w:rPr>
                <w:rFonts w:ascii="Calibri" w:cs="Calibri" w:hAnsi="Calibri" w:eastAsia="Calibri"/>
                <w:outline w:val="0"/>
                <w:color w:val="201f1e"/>
                <w:sz w:val="22"/>
                <w:szCs w:val="22"/>
                <w:u w:color="201f1e"/>
                <w14:textFill>
                  <w14:solidFill>
                    <w14:srgbClr w14:val="201F1E"/>
                  </w14:solidFill>
                </w14:textFill>
              </w:rPr>
            </w:r>
          </w:p>
        </w:tc>
      </w:tr>
      <w:tr>
        <w:tblPrEx>
          <w:shd w:val="clear" w:color="auto" w:fill="cdd4e9"/>
        </w:tblPrEx>
        <w:trPr>
          <w:trHeight w:val="610" w:hRule="atLeast"/>
        </w:trPr>
        <w:tc>
          <w:tcPr>
            <w:tcW w:type="dxa" w:w="13947"/>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z w:val="18"/>
                <w:szCs w:val="18"/>
                <w:lang w:val="en-US"/>
              </w:rPr>
            </w:pPr>
          </w:p>
          <w:p>
            <w:pPr>
              <w:pStyle w:val="Body"/>
              <w:spacing w:after="0" w:line="240" w:lineRule="auto"/>
            </w:pPr>
            <w:r>
              <w:rPr>
                <w:sz w:val="18"/>
                <w:szCs w:val="18"/>
                <w:lang w:val="en-US"/>
              </w:rPr>
            </w:r>
          </w:p>
        </w:tc>
      </w:tr>
      <w:tr>
        <w:tblPrEx>
          <w:shd w:val="clear" w:color="auto" w:fill="cdd4e9"/>
        </w:tblPrEx>
        <w:trPr>
          <w:trHeight w:val="410" w:hRule="atLeast"/>
        </w:trPr>
        <w:tc>
          <w:tcPr>
            <w:tcW w:type="dxa" w:w="66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8"/>
                <w:szCs w:val="18"/>
                <w:rtl w:val="0"/>
                <w:lang w:val="en-US"/>
              </w:rPr>
              <w:t xml:space="preserve">Extract page 26 </w:t>
            </w:r>
            <w:r>
              <w:rPr>
                <w:sz w:val="18"/>
                <w:szCs w:val="18"/>
                <w:rtl w:val="0"/>
                <w:lang w:val="en-US"/>
              </w:rPr>
              <w:t>“</w:t>
            </w:r>
            <w:r>
              <w:rPr>
                <w:sz w:val="18"/>
                <w:szCs w:val="18"/>
                <w:rtl w:val="0"/>
                <w:lang w:val="en-US"/>
              </w:rPr>
              <w:t>HOW WE WILL ACHIEVE IT</w:t>
            </w:r>
            <w:r>
              <w:rPr>
                <w:sz w:val="18"/>
                <w:szCs w:val="18"/>
                <w:rtl w:val="0"/>
                <w:lang w:val="en-US"/>
              </w:rPr>
              <w:t>”</w:t>
            </w:r>
          </w:p>
        </w:tc>
        <w:tc>
          <w:tcPr>
            <w:tcW w:type="dxa" w:w="198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8"/>
                <w:szCs w:val="18"/>
                <w:rtl w:val="0"/>
                <w:lang w:val="en-US"/>
              </w:rPr>
              <w:t>LEAD AGENCY/AGENCIES</w:t>
            </w:r>
          </w:p>
        </w:tc>
        <w:tc>
          <w:tcPr>
            <w:tcW w:type="dxa" w:w="530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rtl w:val="0"/>
                <w:lang w:val="en-US"/>
              </w:rPr>
              <w:t>Comments</w:t>
            </w:r>
          </w:p>
        </w:tc>
      </w:tr>
      <w:tr>
        <w:tblPrEx>
          <w:shd w:val="clear" w:color="auto" w:fill="cdd4e9"/>
        </w:tblPrEx>
        <w:trPr>
          <w:trHeight w:val="410" w:hRule="atLeast"/>
        </w:trPr>
        <w:tc>
          <w:tcPr>
            <w:tcW w:type="dxa" w:w="66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8"/>
                <w:szCs w:val="18"/>
                <w:rtl w:val="0"/>
                <w:lang w:val="en-US"/>
              </w:rPr>
              <w:t xml:space="preserve">We will continue work to improve access to driver licensing and training to improve road safety outcomes through: </w:t>
            </w:r>
          </w:p>
        </w:tc>
        <w:tc>
          <w:tcPr>
            <w:tcW w:type="dxa" w:w="7289"/>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010" w:hRule="atLeast"/>
        </w:trPr>
        <w:tc>
          <w:tcPr>
            <w:tcW w:type="dxa" w:w="66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8"/>
                <w:szCs w:val="18"/>
                <w:rtl w:val="0"/>
                <w:lang w:val="en-US"/>
              </w:rPr>
              <w:t xml:space="preserve">• </w:t>
            </w:r>
            <w:r>
              <w:rPr>
                <w:sz w:val="18"/>
                <w:szCs w:val="18"/>
                <w:rtl w:val="0"/>
                <w:lang w:val="en-US"/>
              </w:rPr>
              <w:t xml:space="preserve">improving access to driver licence support (including appropriate vehicles for learning to drive, driver training, and financial support for driver training or licence tests) for those who are most impacted by barriers to obtaining a driver licence </w:t>
            </w:r>
          </w:p>
        </w:tc>
        <w:tc>
          <w:tcPr>
            <w:tcW w:type="dxa" w:w="198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8"/>
                <w:szCs w:val="18"/>
                <w:rtl w:val="0"/>
                <w:lang w:val="en-US"/>
              </w:rPr>
              <w:t xml:space="preserve">Ministry of Social Development </w:t>
            </w:r>
          </w:p>
        </w:tc>
        <w:tc>
          <w:tcPr>
            <w:tcW w:type="dxa" w:w="530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
              </w:numPr>
              <w:spacing w:after="0" w:line="240" w:lineRule="auto"/>
              <w:rPr>
                <w:sz w:val="18"/>
                <w:szCs w:val="18"/>
                <w:lang w:val="en-US"/>
              </w:rPr>
            </w:pPr>
            <w:r>
              <w:rPr>
                <w:sz w:val="18"/>
                <w:szCs w:val="18"/>
                <w:rtl w:val="0"/>
                <w:lang w:val="en-US"/>
              </w:rPr>
              <w:t xml:space="preserve">We need to build in recognition of quality and quantity training support (to prevent 10-lesson packages). </w:t>
            </w:r>
          </w:p>
          <w:p>
            <w:pPr>
              <w:pStyle w:val="List Paragraph"/>
              <w:numPr>
                <w:ilvl w:val="0"/>
                <w:numId w:val="1"/>
              </w:numPr>
              <w:bidi w:val="0"/>
              <w:spacing w:after="0" w:line="240" w:lineRule="auto"/>
              <w:ind w:right="0"/>
              <w:jc w:val="left"/>
              <w:rPr>
                <w:sz w:val="18"/>
                <w:szCs w:val="18"/>
                <w:rtl w:val="0"/>
                <w:lang w:val="en-US"/>
              </w:rPr>
            </w:pPr>
            <w:r>
              <w:rPr>
                <w:sz w:val="18"/>
                <w:szCs w:val="18"/>
                <w:rtl w:val="0"/>
                <w:lang w:val="en-US"/>
              </w:rPr>
              <w:t>sustained quality learner-centric driver training and programmes</w:t>
            </w:r>
          </w:p>
          <w:p>
            <w:pPr>
              <w:pStyle w:val="List Paragraph"/>
              <w:numPr>
                <w:ilvl w:val="0"/>
                <w:numId w:val="1"/>
              </w:numPr>
              <w:bidi w:val="0"/>
              <w:spacing w:after="0" w:line="240" w:lineRule="auto"/>
              <w:ind w:right="0"/>
              <w:jc w:val="left"/>
              <w:rPr>
                <w:sz w:val="18"/>
                <w:szCs w:val="18"/>
                <w:rtl w:val="0"/>
                <w:lang w:val="en-US"/>
              </w:rPr>
            </w:pPr>
            <w:r>
              <w:rPr>
                <w:sz w:val="18"/>
                <w:szCs w:val="18"/>
                <w:rtl w:val="0"/>
                <w:lang w:val="en-US"/>
              </w:rPr>
              <w:t>Acknowledging the value of the critical contribution of volunteers by defining volunteer mentor recognition/reward/</w:t>
            </w:r>
          </w:p>
          <w:p>
            <w:pPr>
              <w:pStyle w:val="List Paragraph"/>
              <w:numPr>
                <w:ilvl w:val="0"/>
                <w:numId w:val="1"/>
              </w:numPr>
              <w:bidi w:val="0"/>
              <w:spacing w:after="0" w:line="240" w:lineRule="auto"/>
              <w:ind w:right="0"/>
              <w:jc w:val="left"/>
              <w:rPr>
                <w:sz w:val="18"/>
                <w:szCs w:val="18"/>
                <w:rtl w:val="0"/>
                <w:lang w:val="en-US"/>
              </w:rPr>
            </w:pPr>
            <w:r>
              <w:rPr>
                <w:sz w:val="18"/>
                <w:szCs w:val="18"/>
                <w:rtl w:val="0"/>
                <w:lang w:val="en-US"/>
              </w:rPr>
              <w:t>improved access for M</w:t>
            </w:r>
            <w:r>
              <w:rPr>
                <w:sz w:val="18"/>
                <w:szCs w:val="18"/>
                <w:rtl w:val="0"/>
                <w:lang w:val="en-US"/>
              </w:rPr>
              <w:t>ā</w:t>
            </w:r>
            <w:r>
              <w:rPr>
                <w:sz w:val="18"/>
                <w:szCs w:val="18"/>
                <w:rtl w:val="0"/>
                <w:lang w:val="en-US"/>
              </w:rPr>
              <w:t>ori, Pasifika and migrant groups</w:t>
            </w:r>
          </w:p>
          <w:p>
            <w:pPr>
              <w:pStyle w:val="List Paragraph"/>
              <w:numPr>
                <w:ilvl w:val="0"/>
                <w:numId w:val="1"/>
              </w:numPr>
              <w:bidi w:val="0"/>
              <w:spacing w:after="0" w:line="240" w:lineRule="auto"/>
              <w:ind w:right="0"/>
              <w:jc w:val="left"/>
              <w:rPr>
                <w:sz w:val="18"/>
                <w:szCs w:val="18"/>
                <w:rtl w:val="0"/>
                <w:lang w:val="en-US"/>
              </w:rPr>
            </w:pPr>
            <w:r>
              <w:rPr>
                <w:sz w:val="18"/>
                <w:szCs w:val="18"/>
                <w:rtl w:val="0"/>
                <w:lang w:val="en-US"/>
              </w:rPr>
              <w:t xml:space="preserve">To include as a lead agency </w:t>
            </w:r>
            <w:r>
              <w:rPr>
                <w:rFonts w:ascii="Calibri" w:cs="Calibri" w:hAnsi="Calibri" w:eastAsia="Calibri"/>
                <w:b w:val="1"/>
                <w:bCs w:val="1"/>
                <w:sz w:val="18"/>
                <w:szCs w:val="18"/>
                <w:rtl w:val="0"/>
                <w:lang w:val="en-US"/>
              </w:rPr>
              <w:t>Ministry of Education</w:t>
            </w:r>
            <w:r>
              <w:rPr>
                <w:sz w:val="18"/>
                <w:szCs w:val="18"/>
                <w:rtl w:val="0"/>
                <w:lang w:val="en-US"/>
              </w:rPr>
              <w:t xml:space="preserve"> in this space.</w:t>
            </w:r>
          </w:p>
        </w:tc>
      </w:tr>
      <w:tr>
        <w:tblPrEx>
          <w:shd w:val="clear" w:color="auto" w:fill="cdd4e9"/>
        </w:tblPrEx>
        <w:trPr>
          <w:trHeight w:val="2090" w:hRule="atLeast"/>
        </w:trPr>
        <w:tc>
          <w:tcPr>
            <w:tcW w:type="dxa" w:w="66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8"/>
                <w:szCs w:val="18"/>
                <w:rtl w:val="0"/>
                <w:lang w:val="en-US"/>
              </w:rPr>
              <w:t xml:space="preserve">• </w:t>
            </w:r>
            <w:r>
              <w:rPr>
                <w:sz w:val="18"/>
                <w:szCs w:val="18"/>
                <w:rtl w:val="0"/>
                <w:lang w:val="en-US"/>
              </w:rPr>
              <w:t>investigating and implementing operational and delivery improvements to the driver licensing testing system with a focus on improving access</w:t>
            </w:r>
          </w:p>
        </w:tc>
        <w:tc>
          <w:tcPr>
            <w:tcW w:type="dxa" w:w="198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8"/>
                <w:szCs w:val="18"/>
                <w:rtl w:val="0"/>
                <w:lang w:val="en-US"/>
              </w:rPr>
              <w:t xml:space="preserve">Waka Kotahi </w:t>
            </w:r>
          </w:p>
        </w:tc>
        <w:tc>
          <w:tcPr>
            <w:tcW w:type="dxa" w:w="530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z w:val="18"/>
                <w:szCs w:val="18"/>
              </w:rPr>
            </w:pPr>
            <w:r>
              <w:rPr>
                <w:sz w:val="18"/>
                <w:szCs w:val="18"/>
                <w:rtl w:val="0"/>
                <w:lang w:val="en-US"/>
              </w:rPr>
              <w:t xml:space="preserve">Including; </w:t>
            </w:r>
          </w:p>
          <w:p>
            <w:pPr>
              <w:pStyle w:val="List Paragraph"/>
              <w:numPr>
                <w:ilvl w:val="0"/>
                <w:numId w:val="2"/>
              </w:numPr>
              <w:bidi w:val="0"/>
              <w:spacing w:after="0" w:line="240" w:lineRule="auto"/>
              <w:ind w:right="0"/>
              <w:jc w:val="left"/>
              <w:rPr>
                <w:sz w:val="18"/>
                <w:szCs w:val="18"/>
                <w:rtl w:val="0"/>
                <w:lang w:val="en-US"/>
              </w:rPr>
            </w:pPr>
            <w:r>
              <w:rPr>
                <w:sz w:val="18"/>
                <w:szCs w:val="18"/>
                <w:rtl w:val="0"/>
                <w:lang w:val="en-US"/>
              </w:rPr>
              <w:t>multi-lingual access, (processes and testing)</w:t>
            </w:r>
          </w:p>
          <w:p>
            <w:pPr>
              <w:pStyle w:val="List Paragraph"/>
              <w:numPr>
                <w:ilvl w:val="0"/>
                <w:numId w:val="2"/>
              </w:numPr>
              <w:bidi w:val="0"/>
              <w:spacing w:after="0" w:line="240" w:lineRule="auto"/>
              <w:ind w:right="0"/>
              <w:jc w:val="left"/>
              <w:rPr>
                <w:sz w:val="18"/>
                <w:szCs w:val="18"/>
                <w:rtl w:val="0"/>
                <w:lang w:val="en-US"/>
              </w:rPr>
            </w:pPr>
            <w:r>
              <w:rPr>
                <w:sz w:val="18"/>
                <w:szCs w:val="18"/>
                <w:rtl w:val="0"/>
                <w:lang w:val="en-US"/>
              </w:rPr>
              <w:t>increased geographical access to testing</w:t>
            </w:r>
          </w:p>
          <w:p>
            <w:pPr>
              <w:pStyle w:val="List Paragraph"/>
              <w:numPr>
                <w:ilvl w:val="0"/>
                <w:numId w:val="2"/>
              </w:numPr>
              <w:bidi w:val="0"/>
              <w:spacing w:after="0" w:line="240" w:lineRule="auto"/>
              <w:ind w:right="0"/>
              <w:jc w:val="left"/>
              <w:rPr>
                <w:sz w:val="18"/>
                <w:szCs w:val="18"/>
                <w:rtl w:val="0"/>
                <w:lang w:val="en-US"/>
              </w:rPr>
            </w:pPr>
            <w:r>
              <w:rPr>
                <w:sz w:val="18"/>
                <w:szCs w:val="18"/>
                <w:rtl w:val="0"/>
                <w:lang w:val="en-US"/>
              </w:rPr>
              <w:t>investigate alternative solutions to improve testing times, eg contracted DI</w:t>
            </w:r>
            <w:r>
              <w:rPr>
                <w:sz w:val="18"/>
                <w:szCs w:val="18"/>
                <w:rtl w:val="0"/>
                <w:lang w:val="en-US"/>
              </w:rPr>
              <w:t>’</w:t>
            </w:r>
            <w:r>
              <w:rPr>
                <w:sz w:val="18"/>
                <w:szCs w:val="18"/>
                <w:rtl w:val="0"/>
                <w:lang w:val="en-US"/>
              </w:rPr>
              <w:t>s during peak periods and remote locations</w:t>
            </w:r>
          </w:p>
          <w:p>
            <w:pPr>
              <w:pStyle w:val="List Paragraph"/>
              <w:numPr>
                <w:ilvl w:val="0"/>
                <w:numId w:val="2"/>
              </w:numPr>
              <w:bidi w:val="0"/>
              <w:spacing w:after="0" w:line="240" w:lineRule="auto"/>
              <w:ind w:right="0"/>
              <w:jc w:val="left"/>
              <w:rPr>
                <w:sz w:val="18"/>
                <w:szCs w:val="18"/>
                <w:rtl w:val="0"/>
                <w:lang w:val="en-US"/>
              </w:rPr>
            </w:pPr>
            <w:r>
              <w:rPr>
                <w:rFonts w:ascii="Segoe UI" w:cs="Segoe UI" w:hAnsi="Segoe UI" w:eastAsia="Segoe UI"/>
                <w:sz w:val="18"/>
                <w:szCs w:val="18"/>
                <w:rtl w:val="0"/>
                <w:lang w:val="en-US"/>
              </w:rPr>
              <w:t>Investigating how to ensure all clauses referring to I-Endorsements are supporting (rather than hindering) Community Driver Training programmes being delivered.</w:t>
            </w:r>
          </w:p>
        </w:tc>
      </w:tr>
      <w:tr>
        <w:tblPrEx>
          <w:shd w:val="clear" w:color="auto" w:fill="cdd4e9"/>
        </w:tblPrEx>
        <w:trPr>
          <w:trHeight w:val="2210" w:hRule="atLeast"/>
        </w:trPr>
        <w:tc>
          <w:tcPr>
            <w:tcW w:type="dxa" w:w="66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8"/>
                <w:szCs w:val="18"/>
                <w:rtl w:val="0"/>
                <w:lang w:val="en-US"/>
              </w:rPr>
              <w:t xml:space="preserve">• </w:t>
            </w:r>
            <w:r>
              <w:rPr>
                <w:sz w:val="18"/>
                <w:szCs w:val="18"/>
                <w:rtl w:val="0"/>
                <w:lang w:val="en-US"/>
              </w:rPr>
              <w:t>strengthening the requirement for approved courses that can reduce the time a person holds a restricted car licence before they can get a full licence, to ensure safety outcomes are improved for drivers participating in these courses</w:t>
            </w:r>
          </w:p>
        </w:tc>
        <w:tc>
          <w:tcPr>
            <w:tcW w:type="dxa" w:w="198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8"/>
                <w:szCs w:val="18"/>
                <w:rtl w:val="0"/>
                <w:lang w:val="en-US"/>
              </w:rPr>
              <w:t>Waka Kotahi</w:t>
            </w:r>
          </w:p>
        </w:tc>
        <w:tc>
          <w:tcPr>
            <w:tcW w:type="dxa" w:w="530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
              </w:numPr>
              <w:spacing w:after="0" w:line="240" w:lineRule="auto"/>
              <w:rPr>
                <w:sz w:val="18"/>
                <w:szCs w:val="18"/>
                <w:lang w:val="en-US"/>
              </w:rPr>
            </w:pPr>
            <w:r>
              <w:rPr>
                <w:sz w:val="18"/>
                <w:szCs w:val="18"/>
                <w:rtl w:val="0"/>
                <w:lang w:val="en-US"/>
              </w:rPr>
              <w:t>‘</w:t>
            </w:r>
            <w:r>
              <w:rPr>
                <w:sz w:val="18"/>
                <w:szCs w:val="18"/>
                <w:rtl w:val="0"/>
                <w:lang w:val="en-US"/>
              </w:rPr>
              <w:t xml:space="preserve">Strengthening the </w:t>
            </w:r>
            <w:r>
              <w:rPr>
                <w:sz w:val="18"/>
                <w:szCs w:val="18"/>
                <w:u w:val="single"/>
                <w:rtl w:val="0"/>
                <w:lang w:val="en-US"/>
              </w:rPr>
              <w:t>training</w:t>
            </w:r>
            <w:r>
              <w:rPr>
                <w:sz w:val="18"/>
                <w:szCs w:val="18"/>
                <w:rtl w:val="0"/>
                <w:lang w:val="en-US"/>
              </w:rPr>
              <w:t xml:space="preserve"> and requirement for approved</w:t>
            </w:r>
            <w:r>
              <w:rPr>
                <w:sz w:val="18"/>
                <w:szCs w:val="18"/>
                <w:rtl w:val="0"/>
                <w:lang w:val="en-US"/>
              </w:rPr>
              <w:t>…’</w:t>
            </w:r>
            <w:r>
              <w:rPr>
                <w:sz w:val="18"/>
                <w:szCs w:val="18"/>
                <w:rtl w:val="0"/>
                <w:lang w:val="en-US"/>
              </w:rPr>
              <w:t>, and</w:t>
            </w:r>
          </w:p>
          <w:p>
            <w:pPr>
              <w:pStyle w:val="List Paragraph"/>
              <w:numPr>
                <w:ilvl w:val="0"/>
                <w:numId w:val="3"/>
              </w:numPr>
              <w:bidi w:val="0"/>
              <w:spacing w:after="0" w:line="240" w:lineRule="auto"/>
              <w:ind w:right="0"/>
              <w:jc w:val="left"/>
              <w:rPr>
                <w:sz w:val="18"/>
                <w:szCs w:val="18"/>
                <w:rtl w:val="0"/>
                <w:lang w:val="en-US"/>
              </w:rPr>
            </w:pPr>
            <w:r>
              <w:rPr>
                <w:sz w:val="18"/>
                <w:szCs w:val="18"/>
                <w:rtl w:val="0"/>
                <w:lang w:val="en-US"/>
              </w:rPr>
              <w:t>improve the programmes focus and delivery with more practical participation and appropriate theoretical application for these courses.</w:t>
            </w:r>
          </w:p>
          <w:p>
            <w:pPr>
              <w:pStyle w:val="Body"/>
              <w:bidi w:val="0"/>
              <w:spacing w:after="0" w:line="240" w:lineRule="auto"/>
              <w:ind w:left="0" w:right="0" w:firstLine="0"/>
              <w:jc w:val="left"/>
              <w:rPr>
                <w:sz w:val="18"/>
                <w:szCs w:val="18"/>
                <w:rtl w:val="0"/>
              </w:rPr>
            </w:pPr>
            <w:r>
              <w:rPr>
                <w:sz w:val="18"/>
                <w:szCs w:val="18"/>
                <w:rtl w:val="0"/>
                <w:lang w:val="en-US"/>
              </w:rPr>
              <w:t>To include Driving Instructors:</w:t>
            </w:r>
          </w:p>
          <w:p>
            <w:pPr>
              <w:pStyle w:val="List Paragraph"/>
              <w:numPr>
                <w:ilvl w:val="0"/>
                <w:numId w:val="4"/>
              </w:numPr>
              <w:bidi w:val="0"/>
              <w:spacing w:after="0" w:line="240" w:lineRule="auto"/>
              <w:ind w:right="0"/>
              <w:jc w:val="left"/>
              <w:rPr>
                <w:sz w:val="18"/>
                <w:szCs w:val="18"/>
                <w:rtl w:val="0"/>
                <w:lang w:val="en-US"/>
              </w:rPr>
            </w:pPr>
            <w:r>
              <w:rPr>
                <w:sz w:val="18"/>
                <w:szCs w:val="18"/>
                <w:rtl w:val="0"/>
                <w:lang w:val="en-US"/>
              </w:rPr>
              <w:t>support and strengthen instructor capacity and standards.</w:t>
            </w:r>
          </w:p>
          <w:p>
            <w:pPr>
              <w:pStyle w:val="List Paragraph"/>
              <w:numPr>
                <w:ilvl w:val="0"/>
                <w:numId w:val="4"/>
              </w:numPr>
              <w:bidi w:val="0"/>
              <w:spacing w:after="0" w:line="240" w:lineRule="auto"/>
              <w:ind w:right="0"/>
              <w:jc w:val="left"/>
              <w:rPr>
                <w:sz w:val="18"/>
                <w:szCs w:val="18"/>
                <w:rtl w:val="0"/>
                <w:lang w:val="en-US"/>
              </w:rPr>
            </w:pPr>
            <w:r>
              <w:rPr>
                <w:sz w:val="18"/>
                <w:szCs w:val="18"/>
                <w:rtl w:val="0"/>
                <w:lang w:val="en-US"/>
              </w:rPr>
              <w:t>To support multi-lingual / cultural individuals to access financial and training to be Driving Instructors. Therefore to strengthen the access for more diversity with DI</w:t>
            </w:r>
            <w:r>
              <w:rPr>
                <w:sz w:val="18"/>
                <w:szCs w:val="18"/>
                <w:rtl w:val="0"/>
                <w:lang w:val="en-US"/>
              </w:rPr>
              <w:t>’</w:t>
            </w:r>
            <w:r>
              <w:rPr>
                <w:sz w:val="18"/>
                <w:szCs w:val="18"/>
                <w:rtl w:val="0"/>
                <w:lang w:val="en-US"/>
              </w:rPr>
              <w:t>s.</w:t>
            </w:r>
            <w:r>
              <w:rPr>
                <w:sz w:val="18"/>
                <w:szCs w:val="18"/>
              </w:rPr>
            </w:r>
          </w:p>
        </w:tc>
      </w:tr>
      <w:tr>
        <w:tblPrEx>
          <w:shd w:val="clear" w:color="auto" w:fill="cdd4e9"/>
        </w:tblPrEx>
        <w:trPr>
          <w:trHeight w:val="1010" w:hRule="atLeast"/>
        </w:trPr>
        <w:tc>
          <w:tcPr>
            <w:tcW w:type="dxa" w:w="66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8"/>
                <w:szCs w:val="18"/>
                <w:rtl w:val="0"/>
                <w:lang w:val="en-US"/>
              </w:rPr>
              <w:t xml:space="preserve">• </w:t>
            </w:r>
            <w:r>
              <w:rPr>
                <w:sz w:val="18"/>
                <w:szCs w:val="18"/>
                <w:rtl w:val="0"/>
                <w:lang w:val="en-US"/>
              </w:rPr>
              <w:t>establishing ongoing monitoring of the driver licensing system to identify issues and gaps to access in a timely manner</w:t>
            </w:r>
          </w:p>
        </w:tc>
        <w:tc>
          <w:tcPr>
            <w:tcW w:type="dxa" w:w="198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8"/>
                <w:szCs w:val="18"/>
                <w:rtl w:val="0"/>
                <w:lang w:val="en-US"/>
              </w:rPr>
              <w:t>Ministry of Social Development, Waka Kotahi and Te Manat</w:t>
            </w:r>
            <w:r>
              <w:rPr>
                <w:sz w:val="18"/>
                <w:szCs w:val="18"/>
                <w:rtl w:val="0"/>
                <w:lang w:val="en-US"/>
              </w:rPr>
              <w:t xml:space="preserve">ū </w:t>
            </w:r>
            <w:r>
              <w:rPr>
                <w:sz w:val="18"/>
                <w:szCs w:val="18"/>
                <w:rtl w:val="0"/>
                <w:lang w:val="en-US"/>
              </w:rPr>
              <w:t>Waka Ministry of Transport</w:t>
            </w:r>
          </w:p>
        </w:tc>
        <w:tc>
          <w:tcPr>
            <w:tcW w:type="dxa" w:w="530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8"/>
                <w:szCs w:val="18"/>
                <w:rtl w:val="0"/>
                <w:lang w:val="en-US"/>
              </w:rPr>
              <w:t xml:space="preserve">Monitoring and </w:t>
            </w:r>
            <w:r>
              <w:rPr>
                <w:sz w:val="18"/>
                <w:szCs w:val="18"/>
                <w:rtl w:val="0"/>
                <w:lang w:val="en-US"/>
              </w:rPr>
              <w:t>‘</w:t>
            </w:r>
            <w:r>
              <w:rPr>
                <w:sz w:val="18"/>
                <w:szCs w:val="18"/>
                <w:rtl w:val="0"/>
                <w:lang w:val="en-US"/>
              </w:rPr>
              <w:t>consultation and co-design</w:t>
            </w:r>
            <w:r>
              <w:rPr>
                <w:sz w:val="18"/>
                <w:szCs w:val="18"/>
                <w:rtl w:val="0"/>
                <w:lang w:val="en-US"/>
              </w:rPr>
              <w:t xml:space="preserve">’ </w:t>
            </w:r>
            <w:r>
              <w:rPr>
                <w:sz w:val="18"/>
                <w:szCs w:val="18"/>
                <w:rtl w:val="0"/>
                <w:lang w:val="en-US"/>
              </w:rPr>
              <w:t>in a broader capacity, on a regular basis with more groups and providers operating in the DL space.</w:t>
            </w:r>
          </w:p>
        </w:tc>
      </w:tr>
    </w:tbl>
    <w:p>
      <w:pPr>
        <w:pStyle w:val="Body"/>
        <w:widowControl w:val="0"/>
        <w:spacing w:after="0" w:line="240" w:lineRule="auto"/>
        <w:rPr>
          <w:rFonts w:ascii="Calibri" w:cs="Calibri" w:hAnsi="Calibri" w:eastAsia="Calibri"/>
          <w:b w:val="1"/>
          <w:bCs w:val="1"/>
        </w:rPr>
      </w:pPr>
    </w:p>
    <w:p>
      <w:pPr>
        <w:pStyle w:val="Body"/>
      </w:pPr>
    </w:p>
    <w:p>
      <w:pPr>
        <w:pStyle w:val="Body"/>
      </w:pPr>
    </w:p>
    <w:p>
      <w:pPr>
        <w:pStyle w:val="Body"/>
      </w:pPr>
    </w:p>
    <w:p>
      <w:pPr>
        <w:pStyle w:val="Body"/>
      </w:pPr>
    </w:p>
    <w:p>
      <w:pPr>
        <w:pStyle w:val="Body"/>
      </w:pPr>
      <w:r/>
    </w:p>
    <w:sectPr>
      <w:headerReference w:type="default" r:id="rId5"/>
      <w:footerReference w:type="default" r:id="rId6"/>
      <w:pgSz w:w="16840" w:h="11900" w:orient="landscape"/>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Segoe U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paragraph" w:styleId="x_msolistparagraph">
    <w:name w:val="x_msolistparagraph"/>
    <w:next w:val="x_msolistparagraph"/>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